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21B1E" w14:textId="77777777" w:rsidR="00CB2BFD" w:rsidRDefault="00CB2BFD" w:rsidP="00C564D2">
      <w:pPr>
        <w:jc w:val="center"/>
        <w:rPr>
          <w:b/>
          <w:bCs/>
          <w:lang w:val="en-US"/>
        </w:rPr>
      </w:pPr>
      <w:bookmarkStart w:id="0" w:name="_GoBack"/>
      <w:bookmarkEnd w:id="0"/>
    </w:p>
    <w:p w14:paraId="4877220B" w14:textId="77777777" w:rsidR="00CB2BFD" w:rsidRDefault="00CB2BFD" w:rsidP="00C564D2">
      <w:pPr>
        <w:jc w:val="center"/>
        <w:rPr>
          <w:b/>
          <w:bCs/>
          <w:lang w:val="en-US"/>
        </w:rPr>
      </w:pPr>
    </w:p>
    <w:p w14:paraId="41EABA73" w14:textId="77777777" w:rsidR="00547F42" w:rsidRDefault="00547F42" w:rsidP="00C564D2">
      <w:pPr>
        <w:jc w:val="center"/>
        <w:rPr>
          <w:b/>
          <w:bCs/>
          <w:lang w:val="en-US"/>
        </w:rPr>
      </w:pPr>
    </w:p>
    <w:p w14:paraId="1D61D92A" w14:textId="18A30B07" w:rsidR="00C564D2" w:rsidRPr="0042738D" w:rsidRDefault="00CB2BFD" w:rsidP="00C564D2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New insights from financial statements</w:t>
      </w:r>
    </w:p>
    <w:p w14:paraId="4DD4D994" w14:textId="64FF9C60" w:rsidR="00C564D2" w:rsidRDefault="00C564D2" w:rsidP="00C564D2">
      <w:pPr>
        <w:jc w:val="center"/>
        <w:rPr>
          <w:lang w:val="en-US"/>
        </w:rPr>
      </w:pPr>
    </w:p>
    <w:p w14:paraId="3D1EFD78" w14:textId="77777777" w:rsidR="00547F42" w:rsidRDefault="00547F42" w:rsidP="00C564D2">
      <w:pPr>
        <w:jc w:val="center"/>
        <w:rPr>
          <w:lang w:val="en-US"/>
        </w:rPr>
      </w:pPr>
    </w:p>
    <w:p w14:paraId="79ABDAE1" w14:textId="77777777" w:rsidR="00F17AC2" w:rsidRDefault="007500DD" w:rsidP="00C564D2">
      <w:pPr>
        <w:jc w:val="center"/>
        <w:rPr>
          <w:lang w:val="en-US"/>
        </w:rPr>
      </w:pPr>
      <w:bookmarkStart w:id="1" w:name="_Hlk155703135"/>
      <w:r w:rsidRPr="007500DD">
        <w:rPr>
          <w:lang w:val="en-US"/>
        </w:rPr>
        <w:t xml:space="preserve">Irving Fisher </w:t>
      </w:r>
      <w:r>
        <w:rPr>
          <w:lang w:val="en-US"/>
        </w:rPr>
        <w:t>Committee</w:t>
      </w:r>
      <w:r w:rsidR="00C564D2">
        <w:rPr>
          <w:lang w:val="en-US"/>
        </w:rPr>
        <w:t xml:space="preserve"> on Central Bank Statistics</w:t>
      </w:r>
      <w:r w:rsidR="00CB2BFD">
        <w:rPr>
          <w:lang w:val="en-US"/>
        </w:rPr>
        <w:t>,</w:t>
      </w:r>
      <w:r w:rsidR="00CB2BFD" w:rsidRPr="00CB2BFD">
        <w:t xml:space="preserve"> </w:t>
      </w:r>
      <w:r w:rsidR="00CB2BFD">
        <w:br/>
      </w:r>
      <w:r w:rsidR="00CB2BFD" w:rsidRPr="00CB2BFD">
        <w:rPr>
          <w:lang w:val="en-US"/>
        </w:rPr>
        <w:t>European Committee of Central Balance Sheet Data Offices,</w:t>
      </w:r>
      <w:r w:rsidR="00CB2BFD" w:rsidRPr="00CB2BFD">
        <w:t xml:space="preserve"> </w:t>
      </w:r>
      <w:r w:rsidR="00F542C9">
        <w:rPr>
          <w:lang w:val="en-US"/>
        </w:rPr>
        <w:t>Banco de España</w:t>
      </w:r>
    </w:p>
    <w:bookmarkEnd w:id="1"/>
    <w:p w14:paraId="50F8DAF4" w14:textId="77777777" w:rsidR="00C564D2" w:rsidRDefault="00C564D2" w:rsidP="00C564D2">
      <w:pPr>
        <w:jc w:val="center"/>
        <w:rPr>
          <w:lang w:val="en-US"/>
        </w:rPr>
      </w:pPr>
    </w:p>
    <w:p w14:paraId="75F4AE29" w14:textId="49BFD91E" w:rsidR="00C564D2" w:rsidRPr="00EC642B" w:rsidRDefault="00380EB5" w:rsidP="00C564D2">
      <w:pPr>
        <w:jc w:val="center"/>
        <w:rPr>
          <w:lang w:val="es-ES"/>
        </w:rPr>
      </w:pPr>
      <w:r w:rsidRPr="00EC642B">
        <w:rPr>
          <w:lang w:val="es-ES"/>
        </w:rPr>
        <w:t>Banco de España</w:t>
      </w:r>
      <w:r w:rsidR="00733C3A" w:rsidRPr="00EC642B">
        <w:rPr>
          <w:lang w:val="es-ES"/>
        </w:rPr>
        <w:t>,</w:t>
      </w:r>
      <w:r w:rsidRPr="00EC642B">
        <w:rPr>
          <w:lang w:val="es-ES"/>
        </w:rPr>
        <w:t xml:space="preserve"> </w:t>
      </w:r>
      <w:r w:rsidR="00345EA8" w:rsidRPr="00EC642B">
        <w:rPr>
          <w:lang w:val="es-ES"/>
        </w:rPr>
        <w:t xml:space="preserve">Madrid, </w:t>
      </w:r>
      <w:r w:rsidR="000455E6" w:rsidRPr="00EC642B">
        <w:rPr>
          <w:lang w:val="es-ES"/>
        </w:rPr>
        <w:t>Alcalá 4</w:t>
      </w:r>
      <w:r w:rsidR="00F967AB" w:rsidRPr="00EC642B">
        <w:rPr>
          <w:lang w:val="es-ES"/>
        </w:rPr>
        <w:t>8</w:t>
      </w:r>
      <w:r w:rsidR="00C564D2" w:rsidRPr="00EC642B">
        <w:rPr>
          <w:lang w:val="es-ES"/>
        </w:rPr>
        <w:t xml:space="preserve"> </w:t>
      </w:r>
      <w:r w:rsidRPr="00EC642B">
        <w:rPr>
          <w:lang w:val="es-ES"/>
        </w:rPr>
        <w:t>(</w:t>
      </w:r>
      <w:r w:rsidR="00C564D2" w:rsidRPr="00EC642B">
        <w:rPr>
          <w:lang w:val="es-ES"/>
        </w:rPr>
        <w:t xml:space="preserve">17 </w:t>
      </w:r>
      <w:proofErr w:type="spellStart"/>
      <w:r w:rsidR="00C564D2" w:rsidRPr="00EC642B">
        <w:rPr>
          <w:lang w:val="es-ES"/>
        </w:rPr>
        <w:t>October</w:t>
      </w:r>
      <w:proofErr w:type="spellEnd"/>
      <w:r w:rsidR="00C564D2" w:rsidRPr="00EC642B">
        <w:rPr>
          <w:lang w:val="es-ES"/>
        </w:rPr>
        <w:t xml:space="preserve"> 2024</w:t>
      </w:r>
      <w:r w:rsidRPr="00EC642B">
        <w:rPr>
          <w:lang w:val="es-ES"/>
        </w:rPr>
        <w:t>)</w:t>
      </w:r>
    </w:p>
    <w:p w14:paraId="46CA4DD6" w14:textId="68EEC254" w:rsidR="00C564D2" w:rsidRDefault="00C564D2" w:rsidP="00C564D2">
      <w:pPr>
        <w:jc w:val="center"/>
        <w:rPr>
          <w:lang w:val="es-ES"/>
        </w:rPr>
      </w:pPr>
    </w:p>
    <w:p w14:paraId="2AA1F346" w14:textId="77777777" w:rsidR="00547F42" w:rsidRPr="00EC642B" w:rsidRDefault="00547F42" w:rsidP="00C564D2">
      <w:pPr>
        <w:jc w:val="center"/>
        <w:rPr>
          <w:lang w:val="es-ES"/>
        </w:rPr>
      </w:pPr>
    </w:p>
    <w:p w14:paraId="5A18D6CB" w14:textId="77777777" w:rsidR="00C564D2" w:rsidRDefault="00C564D2" w:rsidP="00C564D2">
      <w:pPr>
        <w:jc w:val="center"/>
        <w:rPr>
          <w:lang w:val="en-US"/>
        </w:rPr>
      </w:pPr>
      <w:r>
        <w:rPr>
          <w:lang w:val="en-US"/>
        </w:rPr>
        <w:t>CALL for PAPERS</w:t>
      </w:r>
    </w:p>
    <w:p w14:paraId="05F5119A" w14:textId="5FF92D83" w:rsidR="00477DFF" w:rsidRDefault="00477DFF" w:rsidP="00C564D2">
      <w:pPr>
        <w:jc w:val="center"/>
        <w:rPr>
          <w:lang w:val="en-US"/>
        </w:rPr>
      </w:pPr>
    </w:p>
    <w:p w14:paraId="7553DDB8" w14:textId="77777777" w:rsidR="00547F42" w:rsidRDefault="00547F42" w:rsidP="00C564D2">
      <w:pPr>
        <w:jc w:val="center"/>
        <w:rPr>
          <w:lang w:val="en-US"/>
        </w:rPr>
      </w:pPr>
    </w:p>
    <w:p w14:paraId="3FE2CFF2" w14:textId="77777777" w:rsidR="000D145D" w:rsidRDefault="00477DFF" w:rsidP="00477DFF">
      <w:pPr>
        <w:jc w:val="both"/>
        <w:rPr>
          <w:lang w:val="en-US"/>
        </w:rPr>
      </w:pPr>
      <w:r>
        <w:rPr>
          <w:lang w:val="en-US"/>
        </w:rPr>
        <w:t xml:space="preserve">This workshop on </w:t>
      </w:r>
      <w:proofErr w:type="gramStart"/>
      <w:r w:rsidR="00CB2BFD">
        <w:rPr>
          <w:b/>
          <w:bCs/>
          <w:lang w:val="en-US"/>
        </w:rPr>
        <w:t>New</w:t>
      </w:r>
      <w:proofErr w:type="gramEnd"/>
      <w:r w:rsidR="00CB2BFD">
        <w:rPr>
          <w:b/>
          <w:bCs/>
          <w:lang w:val="en-US"/>
        </w:rPr>
        <w:t xml:space="preserve"> insights from financial statements</w:t>
      </w:r>
      <w:r w:rsidR="001D0122">
        <w:rPr>
          <w:b/>
          <w:bCs/>
          <w:lang w:val="en-US"/>
        </w:rPr>
        <w:t xml:space="preserve"> </w:t>
      </w:r>
      <w:r w:rsidR="001D0122" w:rsidRPr="001D0122">
        <w:rPr>
          <w:lang w:val="en-US"/>
        </w:rPr>
        <w:t xml:space="preserve">aims </w:t>
      </w:r>
      <w:r w:rsidR="00B12595">
        <w:rPr>
          <w:lang w:val="en-US"/>
        </w:rPr>
        <w:t xml:space="preserve">to </w:t>
      </w:r>
      <w:r w:rsidR="004D3D81" w:rsidRPr="004D3D81">
        <w:rPr>
          <w:lang w:val="en-US"/>
        </w:rPr>
        <w:t xml:space="preserve">explore current use cases of non-financial </w:t>
      </w:r>
      <w:r w:rsidR="004F73AF" w:rsidRPr="004D3D81">
        <w:rPr>
          <w:lang w:val="en-US"/>
        </w:rPr>
        <w:t>corporation’s</w:t>
      </w:r>
      <w:r w:rsidR="004D3D81" w:rsidRPr="004D3D81">
        <w:rPr>
          <w:lang w:val="en-US"/>
        </w:rPr>
        <w:t xml:space="preserve"> </w:t>
      </w:r>
      <w:r w:rsidR="004F73AF">
        <w:rPr>
          <w:lang w:val="en-US"/>
        </w:rPr>
        <w:t>financial statements</w:t>
      </w:r>
      <w:r w:rsidR="004D3D81" w:rsidRPr="004D3D81">
        <w:rPr>
          <w:lang w:val="en-US"/>
        </w:rPr>
        <w:t>, new perspectives on the use of these data</w:t>
      </w:r>
      <w:r w:rsidR="00791B60">
        <w:rPr>
          <w:lang w:val="en-US"/>
        </w:rPr>
        <w:t>, research findings, innovative ideas,</w:t>
      </w:r>
      <w:r w:rsidR="004D3D81" w:rsidRPr="004D3D81">
        <w:rPr>
          <w:lang w:val="en-US"/>
        </w:rPr>
        <w:t xml:space="preserve"> </w:t>
      </w:r>
      <w:r w:rsidR="00791B60">
        <w:rPr>
          <w:lang w:val="en-US"/>
        </w:rPr>
        <w:t xml:space="preserve">and </w:t>
      </w:r>
      <w:r w:rsidR="004D3D81" w:rsidRPr="004D3D81">
        <w:rPr>
          <w:lang w:val="en-US"/>
        </w:rPr>
        <w:t xml:space="preserve">new </w:t>
      </w:r>
      <w:r w:rsidR="000D145D">
        <w:rPr>
          <w:lang w:val="en-US"/>
        </w:rPr>
        <w:t xml:space="preserve">analytical </w:t>
      </w:r>
      <w:r w:rsidR="004D3D81" w:rsidRPr="004D3D81">
        <w:rPr>
          <w:lang w:val="en-US"/>
        </w:rPr>
        <w:t>methods</w:t>
      </w:r>
      <w:r w:rsidR="00A31CA8">
        <w:rPr>
          <w:lang w:val="en-US"/>
        </w:rPr>
        <w:t>.</w:t>
      </w:r>
    </w:p>
    <w:p w14:paraId="551F77CC" w14:textId="77777777" w:rsidR="000D145D" w:rsidRDefault="000D145D" w:rsidP="00477DFF">
      <w:pPr>
        <w:jc w:val="both"/>
        <w:rPr>
          <w:lang w:val="en-US"/>
        </w:rPr>
      </w:pPr>
    </w:p>
    <w:p w14:paraId="25B0EAFB" w14:textId="2903DA8A" w:rsidR="00A31CA8" w:rsidRDefault="004F73AF" w:rsidP="00477DFF">
      <w:pPr>
        <w:jc w:val="both"/>
        <w:rPr>
          <w:lang w:val="en-US"/>
        </w:rPr>
      </w:pPr>
      <w:r>
        <w:rPr>
          <w:lang w:val="en-US"/>
        </w:rPr>
        <w:t>The workshop is</w:t>
      </w:r>
      <w:r w:rsidR="00306E8E">
        <w:rPr>
          <w:lang w:val="en-US"/>
        </w:rPr>
        <w:t xml:space="preserve"> </w:t>
      </w:r>
      <w:r w:rsidR="00A31CA8">
        <w:rPr>
          <w:lang w:val="en-US"/>
        </w:rPr>
        <w:t xml:space="preserve">jointly </w:t>
      </w:r>
      <w:r w:rsidR="00306E8E">
        <w:rPr>
          <w:lang w:val="en-US"/>
        </w:rPr>
        <w:t xml:space="preserve">organized by the </w:t>
      </w:r>
      <w:r w:rsidR="00D84C71" w:rsidRPr="00D84C71">
        <w:rPr>
          <w:lang w:val="en-US"/>
        </w:rPr>
        <w:t>Irving Fisher Committee on Central Bank Statistics (IFC) of the Bank for International Settlements</w:t>
      </w:r>
      <w:r w:rsidR="00197453">
        <w:rPr>
          <w:lang w:val="en-US"/>
        </w:rPr>
        <w:t xml:space="preserve"> (BIS)</w:t>
      </w:r>
      <w:r w:rsidR="00D84C71">
        <w:rPr>
          <w:lang w:val="en-US"/>
        </w:rPr>
        <w:t>,</w:t>
      </w:r>
      <w:r w:rsidR="00D84C71" w:rsidRPr="00D84C71">
        <w:rPr>
          <w:lang w:val="en-US"/>
        </w:rPr>
        <w:t xml:space="preserve"> </w:t>
      </w:r>
      <w:r w:rsidR="0043704F">
        <w:rPr>
          <w:lang w:val="en-US"/>
        </w:rPr>
        <w:t xml:space="preserve">the </w:t>
      </w:r>
      <w:r w:rsidR="00306E8E" w:rsidRPr="00306E8E">
        <w:rPr>
          <w:lang w:val="en-US"/>
        </w:rPr>
        <w:t>European Committee of Central Balance Sheet Data Offices</w:t>
      </w:r>
      <w:r w:rsidR="00306E8E">
        <w:rPr>
          <w:lang w:val="en-US"/>
        </w:rPr>
        <w:t xml:space="preserve"> </w:t>
      </w:r>
      <w:r w:rsidR="00FF1268">
        <w:rPr>
          <w:lang w:val="en-US"/>
        </w:rPr>
        <w:t xml:space="preserve">(ECCBSO) </w:t>
      </w:r>
      <w:r w:rsidR="00306E8E">
        <w:rPr>
          <w:lang w:val="en-US"/>
        </w:rPr>
        <w:t>and the</w:t>
      </w:r>
      <w:r w:rsidR="00D84C71" w:rsidRPr="00D84C71">
        <w:t xml:space="preserve"> </w:t>
      </w:r>
      <w:r w:rsidR="00D84C71" w:rsidRPr="00D84C71">
        <w:rPr>
          <w:lang w:val="en-US"/>
        </w:rPr>
        <w:t>Banco de España</w:t>
      </w:r>
      <w:r w:rsidR="00A31CA8">
        <w:rPr>
          <w:lang w:val="en-US"/>
        </w:rPr>
        <w:t>.</w:t>
      </w:r>
      <w:r w:rsidR="00D84C71">
        <w:rPr>
          <w:lang w:val="en-US"/>
        </w:rPr>
        <w:t xml:space="preserve"> </w:t>
      </w:r>
      <w:r w:rsidR="00A31CA8" w:rsidRPr="00A31CA8">
        <w:rPr>
          <w:lang w:val="en-US"/>
        </w:rPr>
        <w:t xml:space="preserve">It offers a place to discuss recent </w:t>
      </w:r>
      <w:r w:rsidR="00197453">
        <w:rPr>
          <w:lang w:val="en-US"/>
        </w:rPr>
        <w:t xml:space="preserve">research </w:t>
      </w:r>
      <w:r w:rsidR="00A31CA8" w:rsidRPr="00A31CA8">
        <w:rPr>
          <w:lang w:val="en-US"/>
        </w:rPr>
        <w:t>findings</w:t>
      </w:r>
      <w:r w:rsidR="00197453">
        <w:rPr>
          <w:lang w:val="en-US"/>
        </w:rPr>
        <w:t xml:space="preserve"> on the use of firm-level information</w:t>
      </w:r>
      <w:r w:rsidR="00A31CA8" w:rsidRPr="00A31CA8">
        <w:rPr>
          <w:lang w:val="en-US"/>
        </w:rPr>
        <w:t xml:space="preserve"> and </w:t>
      </w:r>
      <w:r w:rsidR="006A3736">
        <w:rPr>
          <w:lang w:val="en-US"/>
        </w:rPr>
        <w:t xml:space="preserve">will </w:t>
      </w:r>
      <w:r w:rsidR="00A31CA8" w:rsidRPr="00A31CA8">
        <w:rPr>
          <w:lang w:val="en-US"/>
        </w:rPr>
        <w:t xml:space="preserve">take place directly before the annual meeting of the ECCBSO. Its outcome will </w:t>
      </w:r>
      <w:r w:rsidR="00547F42">
        <w:rPr>
          <w:lang w:val="en-US"/>
        </w:rPr>
        <w:t xml:space="preserve">radiate in the central banking community, </w:t>
      </w:r>
      <w:r w:rsidR="00A31CA8" w:rsidRPr="00A31CA8">
        <w:rPr>
          <w:lang w:val="en-US"/>
        </w:rPr>
        <w:t xml:space="preserve">help to understand current needs of users </w:t>
      </w:r>
      <w:r w:rsidR="00252EB9">
        <w:rPr>
          <w:lang w:val="en-US"/>
        </w:rPr>
        <w:t>of granular corporate</w:t>
      </w:r>
      <w:r w:rsidR="00BE5E33">
        <w:rPr>
          <w:lang w:val="en-US"/>
        </w:rPr>
        <w:t xml:space="preserve"> information </w:t>
      </w:r>
      <w:r w:rsidR="00A31CA8" w:rsidRPr="00A31CA8">
        <w:rPr>
          <w:lang w:val="en-US"/>
        </w:rPr>
        <w:t>and</w:t>
      </w:r>
      <w:r w:rsidR="00A31CA8">
        <w:rPr>
          <w:lang w:val="en-US"/>
        </w:rPr>
        <w:t xml:space="preserve"> be an input to determine the</w:t>
      </w:r>
      <w:r w:rsidR="00A31CA8" w:rsidRPr="00A31CA8">
        <w:rPr>
          <w:lang w:val="en-US"/>
        </w:rPr>
        <w:t xml:space="preserve"> work program</w:t>
      </w:r>
      <w:r w:rsidR="00547F42">
        <w:rPr>
          <w:lang w:val="en-US"/>
        </w:rPr>
        <w:t>s</w:t>
      </w:r>
      <w:r w:rsidR="00A31CA8" w:rsidRPr="00A31CA8">
        <w:rPr>
          <w:lang w:val="en-US"/>
        </w:rPr>
        <w:t xml:space="preserve"> of the ECCBSO</w:t>
      </w:r>
      <w:r w:rsidR="00547F42">
        <w:rPr>
          <w:lang w:val="en-US"/>
        </w:rPr>
        <w:t xml:space="preserve"> and the IFC</w:t>
      </w:r>
      <w:r w:rsidR="00631302">
        <w:rPr>
          <w:lang w:val="en-US"/>
        </w:rPr>
        <w:t>.</w:t>
      </w:r>
      <w:r w:rsidR="00A31CA8">
        <w:rPr>
          <w:lang w:val="en-US"/>
        </w:rPr>
        <w:t xml:space="preserve"> </w:t>
      </w:r>
    </w:p>
    <w:p w14:paraId="0F337534" w14:textId="77777777" w:rsidR="00A31CA8" w:rsidRDefault="00A31CA8" w:rsidP="00477DFF">
      <w:pPr>
        <w:jc w:val="both"/>
        <w:rPr>
          <w:lang w:val="en-US"/>
        </w:rPr>
      </w:pPr>
    </w:p>
    <w:p w14:paraId="44241372" w14:textId="726A8C09" w:rsidR="00D84C71" w:rsidRDefault="00607926" w:rsidP="00477DFF">
      <w:pPr>
        <w:jc w:val="both"/>
        <w:rPr>
          <w:lang w:val="en-US"/>
        </w:rPr>
      </w:pPr>
      <w:r>
        <w:rPr>
          <w:lang w:val="en-US"/>
        </w:rPr>
        <w:t xml:space="preserve">We invite </w:t>
      </w:r>
      <w:r w:rsidR="00E330DA">
        <w:rPr>
          <w:lang w:val="en-US"/>
        </w:rPr>
        <w:t>researchers</w:t>
      </w:r>
      <w:r w:rsidR="00D84C71">
        <w:rPr>
          <w:lang w:val="en-US"/>
        </w:rPr>
        <w:t>,</w:t>
      </w:r>
      <w:r w:rsidR="00E330DA">
        <w:rPr>
          <w:lang w:val="en-US"/>
        </w:rPr>
        <w:t xml:space="preserve"> data analysts </w:t>
      </w:r>
      <w:r w:rsidR="00D84C71">
        <w:rPr>
          <w:lang w:val="en-US"/>
        </w:rPr>
        <w:t>an</w:t>
      </w:r>
      <w:r w:rsidR="007D421A">
        <w:rPr>
          <w:lang w:val="en-US"/>
        </w:rPr>
        <w:t>d statisticians to submit possible contributions</w:t>
      </w:r>
      <w:r w:rsidR="00A10D80">
        <w:rPr>
          <w:lang w:val="en-US"/>
        </w:rPr>
        <w:t xml:space="preserve"> </w:t>
      </w:r>
      <w:r w:rsidR="007D421A">
        <w:rPr>
          <w:lang w:val="en-US"/>
        </w:rPr>
        <w:t>for consideration by the organizing committee.</w:t>
      </w:r>
      <w:r w:rsidR="009A7050">
        <w:rPr>
          <w:lang w:val="en-US"/>
        </w:rPr>
        <w:t xml:space="preserve"> </w:t>
      </w:r>
      <w:r w:rsidR="007D421A">
        <w:rPr>
          <w:lang w:val="en-US"/>
        </w:rPr>
        <w:t xml:space="preserve">Accepted contributions </w:t>
      </w:r>
      <w:r w:rsidR="004F73AF" w:rsidRPr="004F73AF">
        <w:rPr>
          <w:lang w:val="en-US"/>
        </w:rPr>
        <w:t xml:space="preserve">will be published in a special issue of the </w:t>
      </w:r>
      <w:r w:rsidR="004F73AF" w:rsidRPr="00547F42">
        <w:rPr>
          <w:i/>
          <w:iCs/>
          <w:lang w:val="en-US"/>
        </w:rPr>
        <w:t>IFC Bulletins</w:t>
      </w:r>
      <w:r w:rsidR="00A31CA8">
        <w:rPr>
          <w:lang w:val="en-US"/>
        </w:rPr>
        <w:t xml:space="preserve"> </w:t>
      </w:r>
      <w:r w:rsidR="009F3A02">
        <w:rPr>
          <w:lang w:val="en-US"/>
        </w:rPr>
        <w:t xml:space="preserve">series </w:t>
      </w:r>
      <w:r w:rsidR="00A31CA8">
        <w:rPr>
          <w:lang w:val="en-US"/>
        </w:rPr>
        <w:t>(</w:t>
      </w:r>
      <w:hyperlink r:id="rId8" w:history="1">
        <w:r w:rsidR="00A31CA8" w:rsidRPr="00A31CA8">
          <w:rPr>
            <w:rStyle w:val="Hyperlink"/>
          </w:rPr>
          <w:t>IFC Bulletins (bis.org)</w:t>
        </w:r>
      </w:hyperlink>
      <w:r w:rsidR="00A31CA8">
        <w:rPr>
          <w:lang w:val="en-US"/>
        </w:rPr>
        <w:t>)</w:t>
      </w:r>
      <w:r w:rsidR="004F73AF" w:rsidRPr="004F73AF">
        <w:rPr>
          <w:lang w:val="en-US"/>
        </w:rPr>
        <w:t>.</w:t>
      </w:r>
    </w:p>
    <w:p w14:paraId="370AE829" w14:textId="77777777" w:rsidR="00D84C71" w:rsidRDefault="00D84C71" w:rsidP="00477DFF">
      <w:pPr>
        <w:jc w:val="both"/>
        <w:rPr>
          <w:lang w:val="en-US"/>
        </w:rPr>
      </w:pPr>
    </w:p>
    <w:p w14:paraId="38794E61" w14:textId="23566A25" w:rsidR="00C23BC2" w:rsidRDefault="00E4703C" w:rsidP="00477DFF">
      <w:pPr>
        <w:jc w:val="both"/>
        <w:rPr>
          <w:lang w:val="en-US"/>
        </w:rPr>
      </w:pPr>
      <w:r>
        <w:rPr>
          <w:lang w:val="en-US"/>
        </w:rPr>
        <w:t xml:space="preserve">The workshop will </w:t>
      </w:r>
      <w:r w:rsidR="00A655C7">
        <w:rPr>
          <w:lang w:val="en-US"/>
        </w:rPr>
        <w:t xml:space="preserve">take place in hybrid format </w:t>
      </w:r>
      <w:r w:rsidR="00D84C71">
        <w:rPr>
          <w:lang w:val="en-US"/>
        </w:rPr>
        <w:t>with a</w:t>
      </w:r>
      <w:r w:rsidR="00A655C7">
        <w:rPr>
          <w:lang w:val="en-US"/>
        </w:rPr>
        <w:t xml:space="preserve"> prefe</w:t>
      </w:r>
      <w:r w:rsidR="00D84C71">
        <w:rPr>
          <w:lang w:val="en-US"/>
        </w:rPr>
        <w:t>rence for physical presentation.</w:t>
      </w:r>
      <w:r w:rsidR="00547F42">
        <w:rPr>
          <w:rStyle w:val="Funotenzeichen"/>
          <w:lang w:val="en-US"/>
        </w:rPr>
        <w:footnoteReference w:id="1"/>
      </w:r>
      <w:r w:rsidR="00D84C71">
        <w:rPr>
          <w:lang w:val="en-US"/>
        </w:rPr>
        <w:t xml:space="preserve"> </w:t>
      </w:r>
    </w:p>
    <w:p w14:paraId="20C09EC8" w14:textId="77777777" w:rsidR="00C23BC2" w:rsidRDefault="00C23BC2" w:rsidP="00477DFF">
      <w:pPr>
        <w:jc w:val="both"/>
        <w:rPr>
          <w:lang w:val="en-US"/>
        </w:rPr>
      </w:pPr>
    </w:p>
    <w:p w14:paraId="18981355" w14:textId="77777777" w:rsidR="00CC1DD9" w:rsidRPr="00CC1DD9" w:rsidRDefault="00CC1DD9" w:rsidP="00CC1DD9">
      <w:pPr>
        <w:jc w:val="both"/>
        <w:rPr>
          <w:lang w:val="en-US"/>
        </w:rPr>
      </w:pPr>
      <w:r w:rsidRPr="00CC1DD9">
        <w:rPr>
          <w:lang w:val="en-US"/>
        </w:rPr>
        <w:t xml:space="preserve">Please send the title and abstract (maximum 400 words) of your paper by </w:t>
      </w:r>
      <w:r w:rsidR="00B14B95" w:rsidRPr="00B14B95">
        <w:rPr>
          <w:b/>
          <w:lang w:val="en-US"/>
        </w:rPr>
        <w:t>31</w:t>
      </w:r>
      <w:r w:rsidR="00B75041" w:rsidRPr="00B14B95">
        <w:rPr>
          <w:b/>
          <w:lang w:val="en-US"/>
        </w:rPr>
        <w:t xml:space="preserve"> </w:t>
      </w:r>
      <w:r w:rsidR="00B14B95" w:rsidRPr="00B14B95">
        <w:rPr>
          <w:b/>
          <w:lang w:val="en-US"/>
        </w:rPr>
        <w:t>May</w:t>
      </w:r>
      <w:r w:rsidR="00A30FAE" w:rsidRPr="00B14B95">
        <w:rPr>
          <w:b/>
          <w:lang w:val="en-US"/>
        </w:rPr>
        <w:t xml:space="preserve"> 2024</w:t>
      </w:r>
      <w:r w:rsidRPr="00CC1DD9">
        <w:rPr>
          <w:lang w:val="en-US"/>
        </w:rPr>
        <w:t xml:space="preserve"> to the email addresses below. The other important deadlines are:</w:t>
      </w:r>
    </w:p>
    <w:p w14:paraId="1D2A71F5" w14:textId="77777777" w:rsidR="00CC1DD9" w:rsidRPr="007D421A" w:rsidRDefault="00CC1DD9" w:rsidP="00CC1DD9">
      <w:pPr>
        <w:jc w:val="both"/>
        <w:rPr>
          <w:lang w:val="en-US"/>
        </w:rPr>
      </w:pPr>
      <w:r w:rsidRPr="007D421A">
        <w:rPr>
          <w:lang w:val="en-US"/>
        </w:rPr>
        <w:t xml:space="preserve">• </w:t>
      </w:r>
      <w:r w:rsidR="00B14B95" w:rsidRPr="007D421A">
        <w:rPr>
          <w:lang w:val="en-US"/>
        </w:rPr>
        <w:t>14 June</w:t>
      </w:r>
      <w:r w:rsidR="00A30FAE" w:rsidRPr="007D421A">
        <w:rPr>
          <w:lang w:val="en-US"/>
        </w:rPr>
        <w:t xml:space="preserve"> </w:t>
      </w:r>
      <w:r w:rsidRPr="007D421A">
        <w:rPr>
          <w:lang w:val="en-US"/>
        </w:rPr>
        <w:t>202</w:t>
      </w:r>
      <w:r w:rsidR="00A30FAE" w:rsidRPr="007D421A">
        <w:rPr>
          <w:lang w:val="en-US"/>
        </w:rPr>
        <w:t>4</w:t>
      </w:r>
      <w:r w:rsidRPr="007D421A">
        <w:rPr>
          <w:lang w:val="en-US"/>
        </w:rPr>
        <w:t>: Acceptance notification;</w:t>
      </w:r>
    </w:p>
    <w:p w14:paraId="006281D3" w14:textId="77777777" w:rsidR="00CC1DD9" w:rsidRPr="007D421A" w:rsidRDefault="00CC1DD9" w:rsidP="00CC1DD9">
      <w:pPr>
        <w:jc w:val="both"/>
        <w:rPr>
          <w:lang w:val="en-US"/>
        </w:rPr>
      </w:pPr>
      <w:r w:rsidRPr="007D421A">
        <w:rPr>
          <w:lang w:val="en-US"/>
        </w:rPr>
        <w:t xml:space="preserve">• </w:t>
      </w:r>
      <w:r w:rsidR="00B75041" w:rsidRPr="007D421A">
        <w:rPr>
          <w:lang w:val="en-US"/>
        </w:rPr>
        <w:t>30 September</w:t>
      </w:r>
      <w:r w:rsidRPr="007D421A">
        <w:rPr>
          <w:lang w:val="en-US"/>
        </w:rPr>
        <w:t xml:space="preserve"> 2024: Submission of papers;</w:t>
      </w:r>
    </w:p>
    <w:p w14:paraId="5E1B2982" w14:textId="77777777" w:rsidR="00CC1DD9" w:rsidRDefault="00CC1DD9" w:rsidP="00CC1DD9">
      <w:pPr>
        <w:jc w:val="both"/>
        <w:rPr>
          <w:lang w:val="en-US"/>
        </w:rPr>
      </w:pPr>
      <w:r w:rsidRPr="007D421A">
        <w:rPr>
          <w:lang w:val="en-US"/>
        </w:rPr>
        <w:t xml:space="preserve">• </w:t>
      </w:r>
      <w:r w:rsidR="00B75041" w:rsidRPr="007D421A">
        <w:rPr>
          <w:lang w:val="en-US"/>
        </w:rPr>
        <w:t>4 October</w:t>
      </w:r>
      <w:r w:rsidRPr="007D421A">
        <w:rPr>
          <w:lang w:val="en-US"/>
        </w:rPr>
        <w:t xml:space="preserve"> 2024: Submission</w:t>
      </w:r>
      <w:r w:rsidRPr="00CC1DD9">
        <w:rPr>
          <w:lang w:val="en-US"/>
        </w:rPr>
        <w:t xml:space="preserve"> of presentations.</w:t>
      </w:r>
    </w:p>
    <w:p w14:paraId="5314405C" w14:textId="77777777" w:rsidR="00CC1DD9" w:rsidRDefault="00CC1DD9" w:rsidP="00CC1DD9">
      <w:pPr>
        <w:jc w:val="both"/>
        <w:rPr>
          <w:lang w:val="en-US"/>
        </w:rPr>
      </w:pPr>
    </w:p>
    <w:p w14:paraId="4AF5F35F" w14:textId="77777777" w:rsidR="00B75041" w:rsidRDefault="00CC1DD9" w:rsidP="00477DFF">
      <w:pPr>
        <w:jc w:val="both"/>
        <w:rPr>
          <w:lang w:val="en-US"/>
        </w:rPr>
      </w:pPr>
      <w:r>
        <w:rPr>
          <w:lang w:val="en-US"/>
        </w:rPr>
        <w:t>Email addresses</w:t>
      </w:r>
      <w:r w:rsidR="000A2E3B">
        <w:rPr>
          <w:lang w:val="en-US"/>
        </w:rPr>
        <w:t>:</w:t>
      </w:r>
      <w:r w:rsidR="00B75041">
        <w:rPr>
          <w:lang w:val="en-US"/>
        </w:rPr>
        <w:tab/>
      </w:r>
      <w:hyperlink r:id="rId9" w:history="1">
        <w:r w:rsidR="00B75041" w:rsidRPr="00D977FE">
          <w:rPr>
            <w:rStyle w:val="Hyperlink"/>
            <w:lang w:val="en-US"/>
          </w:rPr>
          <w:t>IFC.secretariat@bis.org</w:t>
        </w:r>
      </w:hyperlink>
    </w:p>
    <w:p w14:paraId="58865735" w14:textId="77777777" w:rsidR="00B75041" w:rsidRDefault="00B75041" w:rsidP="00477DFF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10" w:history="1">
        <w:r w:rsidRPr="00D977FE">
          <w:rPr>
            <w:rStyle w:val="Hyperlink"/>
            <w:lang w:val="en-US"/>
          </w:rPr>
          <w:t>eccbso-sekretariat@bundesbank.de</w:t>
        </w:r>
      </w:hyperlink>
      <w:r>
        <w:rPr>
          <w:lang w:val="en-US"/>
        </w:rPr>
        <w:t xml:space="preserve"> </w:t>
      </w:r>
    </w:p>
    <w:p w14:paraId="34CC61F9" w14:textId="77777777" w:rsidR="00C23BC2" w:rsidRDefault="00B75041" w:rsidP="00477DFF">
      <w:pPr>
        <w:jc w:val="both"/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hyperlink r:id="rId11" w:history="1">
        <w:r w:rsidR="000455E6" w:rsidRPr="00543193">
          <w:rPr>
            <w:rStyle w:val="Hyperlink"/>
            <w:lang w:val="en-US"/>
          </w:rPr>
          <w:t>central.balances@bde.es</w:t>
        </w:r>
      </w:hyperlink>
    </w:p>
    <w:p w14:paraId="1FD75F81" w14:textId="77777777" w:rsidR="000455E6" w:rsidRDefault="000455E6" w:rsidP="00477DFF">
      <w:pPr>
        <w:jc w:val="both"/>
        <w:rPr>
          <w:lang w:val="en-US"/>
        </w:rPr>
      </w:pPr>
    </w:p>
    <w:p w14:paraId="2477ADBC" w14:textId="77777777" w:rsidR="002C3B7E" w:rsidRDefault="002C3B7E" w:rsidP="00477DFF">
      <w:pPr>
        <w:jc w:val="both"/>
        <w:rPr>
          <w:lang w:val="en-US"/>
        </w:rPr>
      </w:pPr>
    </w:p>
    <w:p w14:paraId="1E50BEEB" w14:textId="77777777" w:rsidR="002C3B7E" w:rsidRDefault="002C3B7E" w:rsidP="00477DFF">
      <w:pPr>
        <w:jc w:val="both"/>
        <w:rPr>
          <w:lang w:val="en-US"/>
        </w:rPr>
      </w:pPr>
      <w:r>
        <w:rPr>
          <w:lang w:val="en-US"/>
        </w:rPr>
        <w:t xml:space="preserve">We are looking forward to your valuable contributions and to fostering a meaningful discussion at the </w:t>
      </w:r>
      <w:r w:rsidR="00946245">
        <w:rPr>
          <w:lang w:val="en-US"/>
        </w:rPr>
        <w:t xml:space="preserve">workshop on </w:t>
      </w:r>
      <w:proofErr w:type="gramStart"/>
      <w:r w:rsidR="00A31CA8">
        <w:rPr>
          <w:b/>
          <w:bCs/>
          <w:lang w:val="en-US"/>
        </w:rPr>
        <w:t>New</w:t>
      </w:r>
      <w:proofErr w:type="gramEnd"/>
      <w:r w:rsidR="00A31CA8">
        <w:rPr>
          <w:b/>
          <w:bCs/>
          <w:lang w:val="en-US"/>
        </w:rPr>
        <w:t xml:space="preserve"> insights from financial statements</w:t>
      </w:r>
      <w:r w:rsidR="00946245">
        <w:rPr>
          <w:b/>
          <w:bCs/>
          <w:lang w:val="en-US"/>
        </w:rPr>
        <w:t>.</w:t>
      </w:r>
    </w:p>
    <w:sectPr w:rsidR="002C3B7E" w:rsidSect="00CA177B">
      <w:headerReference w:type="even" r:id="rId12"/>
      <w:headerReference w:type="default" r:id="rId13"/>
      <w:footerReference w:type="default" r:id="rId14"/>
      <w:headerReference w:type="first" r:id="rId15"/>
      <w:pgSz w:w="11907" w:h="16840" w:code="9"/>
      <w:pgMar w:top="1134" w:right="1559" w:bottom="1134" w:left="155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C1B529" w14:textId="77777777" w:rsidR="009D1D79" w:rsidRDefault="009D1D79">
      <w:r>
        <w:separator/>
      </w:r>
    </w:p>
  </w:endnote>
  <w:endnote w:type="continuationSeparator" w:id="0">
    <w:p w14:paraId="04056927" w14:textId="77777777" w:rsidR="009D1D79" w:rsidRDefault="009D1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dE Neue Helvetica 45 Light">
    <w:charset w:val="00"/>
    <w:family w:val="swiss"/>
    <w:pitch w:val="variable"/>
    <w:sig w:usb0="8000000F" w:usb1="10002042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9083F" w14:textId="77777777" w:rsidR="00796132" w:rsidRDefault="00C377BC">
    <w:pPr>
      <w:pStyle w:val="Fuzeile"/>
      <w:jc w:val="right"/>
      <w:rPr>
        <w:noProof/>
      </w:rPr>
    </w:pPr>
    <w:r>
      <w:rPr>
        <w:noProof/>
      </w:rPr>
      <w:fldChar w:fldCharType="begin"/>
    </w:r>
    <w:r w:rsidR="00796132">
      <w:rPr>
        <w:noProof/>
      </w:rPr>
      <w:instrText xml:space="preserve">filename </w:instrText>
    </w:r>
    <w:r>
      <w:rPr>
        <w:noProof/>
      </w:rPr>
      <w:fldChar w:fldCharType="separate"/>
    </w:r>
    <w:r w:rsidR="00796132">
      <w:rPr>
        <w:noProof/>
      </w:rPr>
      <w:t>NORMAL.DOT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3F508" w14:textId="77777777" w:rsidR="009D1D79" w:rsidRDefault="009D1D79">
      <w:r>
        <w:separator/>
      </w:r>
    </w:p>
  </w:footnote>
  <w:footnote w:type="continuationSeparator" w:id="0">
    <w:p w14:paraId="43968343" w14:textId="77777777" w:rsidR="009D1D79" w:rsidRDefault="009D1D79">
      <w:r>
        <w:continuationSeparator/>
      </w:r>
    </w:p>
  </w:footnote>
  <w:footnote w:id="1">
    <w:p w14:paraId="66E71725" w14:textId="5A6BAB04" w:rsidR="00547F42" w:rsidRPr="004A42EC" w:rsidRDefault="00547F42" w:rsidP="004A42EC">
      <w:pPr>
        <w:pStyle w:val="Funotentext"/>
        <w:ind w:left="142" w:hanging="142"/>
        <w:rPr>
          <w:lang w:val="en-US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en-US"/>
        </w:rPr>
        <w:t>The Chatham House Rule (</w:t>
      </w:r>
      <w:hyperlink r:id="rId1" w:history="1">
        <w:r>
          <w:rPr>
            <w:rStyle w:val="Hyperlink"/>
          </w:rPr>
          <w:t>Chatham House Rule | Chatham House – International Affairs Think Tank</w:t>
        </w:r>
      </w:hyperlink>
      <w:r>
        <w:t>)</w:t>
      </w:r>
      <w:r>
        <w:rPr>
          <w:lang w:val="en-US"/>
        </w:rPr>
        <w:t xml:space="preserve"> will apply.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D5C16" w14:textId="77777777" w:rsidR="00796132" w:rsidRDefault="00796132">
    <w:pPr>
      <w:pStyle w:val="Kopfzeile"/>
      <w:tabs>
        <w:tab w:val="clear" w:pos="4394"/>
        <w:tab w:val="center" w:pos="43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8D0663" w14:textId="26644A2C" w:rsidR="00796132" w:rsidRPr="00CB2BFD" w:rsidRDefault="000455E6" w:rsidP="00947872">
    <w:pPr>
      <w:pStyle w:val="Kopfzeile"/>
      <w:tabs>
        <w:tab w:val="clear" w:pos="4394"/>
        <w:tab w:val="center" w:pos="4395"/>
      </w:tabs>
      <w:rPr>
        <w:noProof/>
        <w:lang w:val="de-DE" w:eastAsia="de-DE"/>
      </w:rPr>
    </w:pPr>
    <w:r w:rsidRPr="000455E6">
      <w:rPr>
        <w:rFonts w:ascii="BdE Neue Helvetica 45 Light" w:eastAsia="Times" w:hAnsi="BdE Neue Helvetica 45 Light"/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71294DB0" wp14:editId="5896565E">
          <wp:simplePos x="0" y="0"/>
          <wp:positionH relativeFrom="page">
            <wp:posOffset>5295900</wp:posOffset>
          </wp:positionH>
          <wp:positionV relativeFrom="page">
            <wp:posOffset>609600</wp:posOffset>
          </wp:positionV>
          <wp:extent cx="1581150" cy="345005"/>
          <wp:effectExtent l="0" t="0" r="0" b="0"/>
          <wp:wrapNone/>
          <wp:docPr id="4" name="Imagen 4" descr="LOGO_3_Negro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3_Negro_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981" cy="347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7872">
      <w:rPr>
        <w:noProof/>
        <w:lang w:val="de-DE" w:eastAsia="de-DE"/>
      </w:rPr>
      <w:drawing>
        <wp:inline distT="0" distB="0" distL="0" distR="0" wp14:anchorId="1A7C30B0" wp14:editId="29648FEE">
          <wp:extent cx="2200275" cy="475615"/>
          <wp:effectExtent l="0" t="0" r="9525" b="63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947872">
      <w:rPr>
        <w:noProof/>
        <w:lang w:val="de-DE" w:eastAsia="de-DE"/>
      </w:rPr>
      <w:t xml:space="preserve">    </w:t>
    </w:r>
    <w:r w:rsidR="00DE17A2">
      <w:rPr>
        <w:noProof/>
        <w:lang w:val="de-DE" w:eastAsia="de-DE"/>
      </w:rPr>
      <w:drawing>
        <wp:inline distT="0" distB="0" distL="0" distR="0" wp14:anchorId="35B308D0" wp14:editId="3065E71C">
          <wp:extent cx="1892350" cy="63817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9592" cy="6608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B2BFD">
      <w:rPr>
        <w:noProof/>
        <w:lang w:val="de-DE" w:eastAsia="de-DE"/>
      </w:rPr>
      <w:t xml:space="preserve"> </w:t>
    </w:r>
    <w:r w:rsidR="00CB2BFD" w:rsidRPr="00CB2BFD">
      <w:rPr>
        <w:noProof/>
        <w:sz w:val="18"/>
        <w:szCs w:val="18"/>
        <w:lang w:val="de-DE" w:eastAsia="de-DE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07DF5" w14:textId="77777777" w:rsidR="00796132" w:rsidRDefault="00796132">
    <w:pPr>
      <w:pStyle w:val="Kopfzeile"/>
      <w:tabs>
        <w:tab w:val="clear" w:pos="4394"/>
        <w:tab w:val="center" w:pos="43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CED590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286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FB825B0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5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DBE8E166"/>
    <w:lvl w:ilvl="0">
      <w:start w:val="1"/>
      <w:numFmt w:val="lowerRoman"/>
      <w:pStyle w:val="Listennummer3"/>
      <w:lvlText w:val="%1."/>
      <w:lvlJc w:val="left"/>
      <w:pPr>
        <w:ind w:left="851" w:hanging="285"/>
      </w:pPr>
      <w:rPr>
        <w:rFonts w:ascii="Arial" w:hAnsi="Arial" w:hint="default"/>
        <w:b w:val="0"/>
        <w:i w:val="0"/>
        <w:sz w:val="20"/>
      </w:rPr>
    </w:lvl>
  </w:abstractNum>
  <w:abstractNum w:abstractNumId="3" w15:restartNumberingAfterBreak="0">
    <w:nsid w:val="FFFFFF7F"/>
    <w:multiLevelType w:val="singleLevel"/>
    <w:tmpl w:val="E7D8E07C"/>
    <w:lvl w:ilvl="0">
      <w:start w:val="1"/>
      <w:numFmt w:val="lowerLetter"/>
      <w:pStyle w:val="Listennummer2"/>
      <w:lvlText w:val="%1."/>
      <w:lvlJc w:val="left"/>
      <w:pPr>
        <w:ind w:left="567" w:hanging="284"/>
      </w:pPr>
      <w:rPr>
        <w:rFonts w:ascii="Arial" w:hAnsi="Arial" w:hint="default"/>
        <w:b w:val="0"/>
        <w:i w:val="0"/>
        <w:sz w:val="20"/>
      </w:rPr>
    </w:lvl>
  </w:abstractNum>
  <w:abstractNum w:abstractNumId="4" w15:restartNumberingAfterBreak="0">
    <w:nsid w:val="FFFFFF80"/>
    <w:multiLevelType w:val="singleLevel"/>
    <w:tmpl w:val="FED0124A"/>
    <w:lvl w:ilvl="0">
      <w:start w:val="1"/>
      <w:numFmt w:val="bullet"/>
      <w:pStyle w:val="Aufzhlungszeichen5"/>
      <w:lvlText w:val=""/>
      <w:lvlJc w:val="left"/>
      <w:pPr>
        <w:ind w:left="1418" w:hanging="286"/>
      </w:pPr>
      <w:rPr>
        <w:rFonts w:ascii="Symbol" w:hAnsi="Symbol" w:hint="default"/>
        <w:b w:val="0"/>
        <w:i w:val="0"/>
        <w:sz w:val="20"/>
      </w:rPr>
    </w:lvl>
  </w:abstractNum>
  <w:abstractNum w:abstractNumId="5" w15:restartNumberingAfterBreak="0">
    <w:nsid w:val="FFFFFF81"/>
    <w:multiLevelType w:val="singleLevel"/>
    <w:tmpl w:val="ED881D6E"/>
    <w:lvl w:ilvl="0">
      <w:start w:val="1"/>
      <w:numFmt w:val="bullet"/>
      <w:pStyle w:val="Aufzhlungszeichen4"/>
      <w:lvlText w:val="○"/>
      <w:lvlJc w:val="left"/>
      <w:pPr>
        <w:ind w:left="1134" w:hanging="285"/>
      </w:pPr>
      <w:rPr>
        <w:rFonts w:ascii="Arial" w:hAnsi="Arial" w:hint="default"/>
        <w:b w:val="0"/>
        <w:i w:val="0"/>
        <w:sz w:val="20"/>
      </w:rPr>
    </w:lvl>
  </w:abstractNum>
  <w:abstractNum w:abstractNumId="6" w15:restartNumberingAfterBreak="0">
    <w:nsid w:val="FFFFFF82"/>
    <w:multiLevelType w:val="singleLevel"/>
    <w:tmpl w:val="09102374"/>
    <w:lvl w:ilvl="0">
      <w:start w:val="1"/>
      <w:numFmt w:val="bullet"/>
      <w:lvlText w:val="●"/>
      <w:lvlJc w:val="left"/>
      <w:pPr>
        <w:ind w:left="927" w:hanging="360"/>
      </w:pPr>
      <w:rPr>
        <w:rFonts w:ascii="Arial" w:hAnsi="Arial" w:hint="default"/>
        <w:b w:val="0"/>
        <w:i w:val="0"/>
        <w:sz w:val="20"/>
      </w:rPr>
    </w:lvl>
  </w:abstractNum>
  <w:abstractNum w:abstractNumId="7" w15:restartNumberingAfterBreak="0">
    <w:nsid w:val="FFFFFF83"/>
    <w:multiLevelType w:val="singleLevel"/>
    <w:tmpl w:val="6EF40C1E"/>
    <w:lvl w:ilvl="0">
      <w:start w:val="1"/>
      <w:numFmt w:val="bullet"/>
      <w:pStyle w:val="Aufzhlungszeichen2"/>
      <w:lvlText w:val="□"/>
      <w:lvlJc w:val="left"/>
      <w:pPr>
        <w:ind w:left="567" w:hanging="284"/>
      </w:pPr>
      <w:rPr>
        <w:rFonts w:ascii="Arial" w:hAnsi="Arial" w:hint="default"/>
        <w:b w:val="0"/>
        <w:i w:val="0"/>
        <w:sz w:val="20"/>
      </w:rPr>
    </w:lvl>
  </w:abstractNum>
  <w:abstractNum w:abstractNumId="8" w15:restartNumberingAfterBreak="0">
    <w:nsid w:val="FFFFFF88"/>
    <w:multiLevelType w:val="singleLevel"/>
    <w:tmpl w:val="074A0542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</w:abstractNum>
  <w:abstractNum w:abstractNumId="9" w15:restartNumberingAfterBreak="0">
    <w:nsid w:val="FFFFFF89"/>
    <w:multiLevelType w:val="singleLevel"/>
    <w:tmpl w:val="D474FA8C"/>
    <w:lvl w:ilvl="0">
      <w:start w:val="1"/>
      <w:numFmt w:val="bullet"/>
      <w:pStyle w:val="Aufzhlungszeichen"/>
      <w:lvlText w:val="■"/>
      <w:lvlJc w:val="left"/>
      <w:pPr>
        <w:ind w:left="284" w:hanging="284"/>
      </w:pPr>
      <w:rPr>
        <w:rFonts w:ascii="Arial" w:hAnsi="Arial" w:hint="default"/>
        <w:b w:val="0"/>
        <w:i w:val="0"/>
        <w:sz w:val="20"/>
      </w:rPr>
    </w:lvl>
  </w:abstractNum>
  <w:abstractNum w:abstractNumId="10" w15:restartNumberingAfterBreak="0">
    <w:nsid w:val="014901FB"/>
    <w:multiLevelType w:val="hybridMultilevel"/>
    <w:tmpl w:val="CDA0F682"/>
    <w:lvl w:ilvl="0" w:tplc="7070E264">
      <w:start w:val="1"/>
      <w:numFmt w:val="bullet"/>
      <w:pStyle w:val="Aufzhlungszeichen3"/>
      <w:lvlText w:val="●"/>
      <w:lvlJc w:val="left"/>
      <w:pPr>
        <w:ind w:left="851" w:hanging="284"/>
      </w:pPr>
      <w:rPr>
        <w:rFonts w:ascii="Arial" w:hAnsi="Arial" w:hint="default"/>
        <w:b w:val="0"/>
        <w:i w:val="0"/>
        <w:sz w:val="2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3570D"/>
    <w:multiLevelType w:val="multilevel"/>
    <w:tmpl w:val="6CAEEA58"/>
    <w:lvl w:ilvl="0">
      <w:start w:val="1"/>
      <w:numFmt w:val="decimal"/>
      <w:suff w:val="space"/>
      <w:lvlText w:val="%1."/>
      <w:lvlJc w:val="left"/>
      <w:pPr>
        <w:ind w:left="0" w:firstLine="0"/>
      </w:pPr>
      <w:rPr>
        <w:u w:val="none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u w:val="none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u w:val="none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u w:val="none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u w:val="none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u w:val="none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u w:val="none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u w:val="none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9"/>
    <w:lvlOverride w:ilvl="0">
      <w:startOverride w:val="1"/>
    </w:lvlOverride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6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21"/>
    <w:rsid w:val="00002AB1"/>
    <w:rsid w:val="00005848"/>
    <w:rsid w:val="00010168"/>
    <w:rsid w:val="0001064F"/>
    <w:rsid w:val="00016588"/>
    <w:rsid w:val="0002547B"/>
    <w:rsid w:val="000455E6"/>
    <w:rsid w:val="00066BB2"/>
    <w:rsid w:val="00076FDF"/>
    <w:rsid w:val="00082B62"/>
    <w:rsid w:val="00092F24"/>
    <w:rsid w:val="000A1C52"/>
    <w:rsid w:val="000A2E3B"/>
    <w:rsid w:val="000A43B4"/>
    <w:rsid w:val="000A5602"/>
    <w:rsid w:val="000B4BC4"/>
    <w:rsid w:val="000C2D0A"/>
    <w:rsid w:val="000D145D"/>
    <w:rsid w:val="000E0C3D"/>
    <w:rsid w:val="000E19AC"/>
    <w:rsid w:val="000F595B"/>
    <w:rsid w:val="000F78E8"/>
    <w:rsid w:val="00121945"/>
    <w:rsid w:val="00143FB3"/>
    <w:rsid w:val="001613FE"/>
    <w:rsid w:val="001651AC"/>
    <w:rsid w:val="001726FE"/>
    <w:rsid w:val="001767E5"/>
    <w:rsid w:val="00190BA2"/>
    <w:rsid w:val="00197453"/>
    <w:rsid w:val="001D0122"/>
    <w:rsid w:val="001E1AC7"/>
    <w:rsid w:val="00206227"/>
    <w:rsid w:val="00217B38"/>
    <w:rsid w:val="0022049F"/>
    <w:rsid w:val="00243709"/>
    <w:rsid w:val="00247B44"/>
    <w:rsid w:val="00252EB9"/>
    <w:rsid w:val="0026502A"/>
    <w:rsid w:val="002968E4"/>
    <w:rsid w:val="002B1261"/>
    <w:rsid w:val="002B38B3"/>
    <w:rsid w:val="002C3B7E"/>
    <w:rsid w:val="002D19CB"/>
    <w:rsid w:val="002F65B9"/>
    <w:rsid w:val="00306E8E"/>
    <w:rsid w:val="00310D8D"/>
    <w:rsid w:val="0032444C"/>
    <w:rsid w:val="00334C56"/>
    <w:rsid w:val="00345EA8"/>
    <w:rsid w:val="00352DC7"/>
    <w:rsid w:val="0037370F"/>
    <w:rsid w:val="00380EB5"/>
    <w:rsid w:val="00382074"/>
    <w:rsid w:val="003A7A08"/>
    <w:rsid w:val="003B6994"/>
    <w:rsid w:val="003C268F"/>
    <w:rsid w:val="00416243"/>
    <w:rsid w:val="00426B0E"/>
    <w:rsid w:val="0042738D"/>
    <w:rsid w:val="004326AD"/>
    <w:rsid w:val="0043704F"/>
    <w:rsid w:val="00450EE5"/>
    <w:rsid w:val="0046052F"/>
    <w:rsid w:val="00477796"/>
    <w:rsid w:val="00477DFF"/>
    <w:rsid w:val="004A42EC"/>
    <w:rsid w:val="004D3D81"/>
    <w:rsid w:val="004E10DF"/>
    <w:rsid w:val="004F73AF"/>
    <w:rsid w:val="00504EBB"/>
    <w:rsid w:val="0051015E"/>
    <w:rsid w:val="005345B5"/>
    <w:rsid w:val="00547F42"/>
    <w:rsid w:val="00577B66"/>
    <w:rsid w:val="005C7148"/>
    <w:rsid w:val="005D1975"/>
    <w:rsid w:val="005D60C2"/>
    <w:rsid w:val="005F1921"/>
    <w:rsid w:val="00600133"/>
    <w:rsid w:val="00601808"/>
    <w:rsid w:val="00607926"/>
    <w:rsid w:val="00631302"/>
    <w:rsid w:val="00634BD6"/>
    <w:rsid w:val="006356E0"/>
    <w:rsid w:val="00637909"/>
    <w:rsid w:val="00661343"/>
    <w:rsid w:val="00662196"/>
    <w:rsid w:val="00665FF1"/>
    <w:rsid w:val="006720E3"/>
    <w:rsid w:val="00683E12"/>
    <w:rsid w:val="0068491F"/>
    <w:rsid w:val="00692D3A"/>
    <w:rsid w:val="006A000E"/>
    <w:rsid w:val="006A3736"/>
    <w:rsid w:val="006A50FA"/>
    <w:rsid w:val="006A5CC3"/>
    <w:rsid w:val="006B4728"/>
    <w:rsid w:val="006B4B71"/>
    <w:rsid w:val="006E020F"/>
    <w:rsid w:val="007060FF"/>
    <w:rsid w:val="0071233C"/>
    <w:rsid w:val="007223FC"/>
    <w:rsid w:val="00733C3A"/>
    <w:rsid w:val="007360DD"/>
    <w:rsid w:val="007500DD"/>
    <w:rsid w:val="00772B0D"/>
    <w:rsid w:val="00782E97"/>
    <w:rsid w:val="00791B60"/>
    <w:rsid w:val="00796132"/>
    <w:rsid w:val="007B66CF"/>
    <w:rsid w:val="007B7057"/>
    <w:rsid w:val="007C5B75"/>
    <w:rsid w:val="007D421A"/>
    <w:rsid w:val="007D6251"/>
    <w:rsid w:val="007D6E62"/>
    <w:rsid w:val="007E2907"/>
    <w:rsid w:val="007E31BE"/>
    <w:rsid w:val="007F0CC7"/>
    <w:rsid w:val="0083501D"/>
    <w:rsid w:val="00840F95"/>
    <w:rsid w:val="008448B4"/>
    <w:rsid w:val="008467F7"/>
    <w:rsid w:val="008533D0"/>
    <w:rsid w:val="008640E6"/>
    <w:rsid w:val="008669BD"/>
    <w:rsid w:val="00871F80"/>
    <w:rsid w:val="00876A19"/>
    <w:rsid w:val="00886EBB"/>
    <w:rsid w:val="00892821"/>
    <w:rsid w:val="00892BDE"/>
    <w:rsid w:val="008A6313"/>
    <w:rsid w:val="008C53AF"/>
    <w:rsid w:val="008C561B"/>
    <w:rsid w:val="008F55A9"/>
    <w:rsid w:val="0090787B"/>
    <w:rsid w:val="00913394"/>
    <w:rsid w:val="00946245"/>
    <w:rsid w:val="00947872"/>
    <w:rsid w:val="00954CE3"/>
    <w:rsid w:val="0096037A"/>
    <w:rsid w:val="00960F42"/>
    <w:rsid w:val="0096502C"/>
    <w:rsid w:val="009656F3"/>
    <w:rsid w:val="00993CCE"/>
    <w:rsid w:val="009A6104"/>
    <w:rsid w:val="009A7050"/>
    <w:rsid w:val="009D1D79"/>
    <w:rsid w:val="009E532B"/>
    <w:rsid w:val="009F1256"/>
    <w:rsid w:val="009F23EB"/>
    <w:rsid w:val="009F3A02"/>
    <w:rsid w:val="009F57FA"/>
    <w:rsid w:val="00A03E6F"/>
    <w:rsid w:val="00A10D80"/>
    <w:rsid w:val="00A126F9"/>
    <w:rsid w:val="00A30FAE"/>
    <w:rsid w:val="00A31CA8"/>
    <w:rsid w:val="00A5175B"/>
    <w:rsid w:val="00A567B9"/>
    <w:rsid w:val="00A61477"/>
    <w:rsid w:val="00A655C7"/>
    <w:rsid w:val="00A72521"/>
    <w:rsid w:val="00A80218"/>
    <w:rsid w:val="00A86AC8"/>
    <w:rsid w:val="00AA2AD9"/>
    <w:rsid w:val="00AA3C24"/>
    <w:rsid w:val="00AC79A6"/>
    <w:rsid w:val="00AF1AE7"/>
    <w:rsid w:val="00B077D7"/>
    <w:rsid w:val="00B12595"/>
    <w:rsid w:val="00B14B95"/>
    <w:rsid w:val="00B2189A"/>
    <w:rsid w:val="00B257BD"/>
    <w:rsid w:val="00B3292D"/>
    <w:rsid w:val="00B37AA8"/>
    <w:rsid w:val="00B40075"/>
    <w:rsid w:val="00B45579"/>
    <w:rsid w:val="00B66480"/>
    <w:rsid w:val="00B72904"/>
    <w:rsid w:val="00B75041"/>
    <w:rsid w:val="00B93C09"/>
    <w:rsid w:val="00BA649F"/>
    <w:rsid w:val="00BA6E83"/>
    <w:rsid w:val="00BC6750"/>
    <w:rsid w:val="00BE5E33"/>
    <w:rsid w:val="00BE791D"/>
    <w:rsid w:val="00C23BC2"/>
    <w:rsid w:val="00C377BC"/>
    <w:rsid w:val="00C564D2"/>
    <w:rsid w:val="00C75FA1"/>
    <w:rsid w:val="00C769A5"/>
    <w:rsid w:val="00C91345"/>
    <w:rsid w:val="00CA177B"/>
    <w:rsid w:val="00CA5A74"/>
    <w:rsid w:val="00CB2BFD"/>
    <w:rsid w:val="00CB4B76"/>
    <w:rsid w:val="00CC1DD9"/>
    <w:rsid w:val="00CC4406"/>
    <w:rsid w:val="00CD05D3"/>
    <w:rsid w:val="00CD268E"/>
    <w:rsid w:val="00CF40CE"/>
    <w:rsid w:val="00D1315C"/>
    <w:rsid w:val="00D52F72"/>
    <w:rsid w:val="00D65490"/>
    <w:rsid w:val="00D754FD"/>
    <w:rsid w:val="00D84645"/>
    <w:rsid w:val="00D84C71"/>
    <w:rsid w:val="00DE17A2"/>
    <w:rsid w:val="00DE2E9A"/>
    <w:rsid w:val="00DE479C"/>
    <w:rsid w:val="00E02090"/>
    <w:rsid w:val="00E330DA"/>
    <w:rsid w:val="00E4703C"/>
    <w:rsid w:val="00E52C9C"/>
    <w:rsid w:val="00E71830"/>
    <w:rsid w:val="00E805DC"/>
    <w:rsid w:val="00EA01EB"/>
    <w:rsid w:val="00EA6773"/>
    <w:rsid w:val="00EB1A74"/>
    <w:rsid w:val="00EC642B"/>
    <w:rsid w:val="00ED1B50"/>
    <w:rsid w:val="00EE7186"/>
    <w:rsid w:val="00EF407E"/>
    <w:rsid w:val="00F17AC2"/>
    <w:rsid w:val="00F27D53"/>
    <w:rsid w:val="00F47864"/>
    <w:rsid w:val="00F542C9"/>
    <w:rsid w:val="00F645CB"/>
    <w:rsid w:val="00F7258B"/>
    <w:rsid w:val="00F967AB"/>
    <w:rsid w:val="00FA5EF5"/>
    <w:rsid w:val="00FC0BD9"/>
    <w:rsid w:val="00FC586C"/>
    <w:rsid w:val="00FF1268"/>
    <w:rsid w:val="00FF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6FBCDC"/>
  <w15:chartTrackingRefBased/>
  <w15:docId w15:val="{9977328B-029C-45D0-BD93-32CC818F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C561B"/>
    <w:pPr>
      <w:spacing w:line="260" w:lineRule="atLeast"/>
    </w:pPr>
    <w:rPr>
      <w:rFonts w:ascii="Arial" w:hAnsi="Arial"/>
      <w:lang w:val="en-GB" w:eastAsia="en-US"/>
    </w:rPr>
  </w:style>
  <w:style w:type="paragraph" w:styleId="berschrift1">
    <w:name w:val="heading 1"/>
    <w:basedOn w:val="Standard"/>
    <w:next w:val="Standard"/>
    <w:qFormat/>
    <w:rsid w:val="00954CE3"/>
    <w:pPr>
      <w:keepNext/>
      <w:keepLines/>
      <w:spacing w:before="480" w:after="240"/>
      <w:outlineLvl w:val="0"/>
    </w:pPr>
    <w:rPr>
      <w:b/>
      <w:caps/>
      <w:u w:val="single"/>
    </w:rPr>
  </w:style>
  <w:style w:type="paragraph" w:styleId="berschrift2">
    <w:name w:val="heading 2"/>
    <w:basedOn w:val="Standard"/>
    <w:next w:val="Standard"/>
    <w:qFormat/>
    <w:rsid w:val="00954CE3"/>
    <w:pPr>
      <w:keepNext/>
      <w:keepLines/>
      <w:spacing w:before="240" w:after="240"/>
      <w:outlineLvl w:val="1"/>
    </w:pPr>
    <w:rPr>
      <w:caps/>
      <w:u w:val="single"/>
    </w:rPr>
  </w:style>
  <w:style w:type="paragraph" w:styleId="berschrift3">
    <w:name w:val="heading 3"/>
    <w:basedOn w:val="Standard"/>
    <w:next w:val="Standard"/>
    <w:qFormat/>
    <w:rsid w:val="00954CE3"/>
    <w:pPr>
      <w:keepNext/>
      <w:keepLines/>
      <w:spacing w:before="240" w:after="120"/>
      <w:outlineLvl w:val="2"/>
    </w:pPr>
    <w:rPr>
      <w:u w:val="single"/>
    </w:rPr>
  </w:style>
  <w:style w:type="paragraph" w:styleId="berschrift4">
    <w:name w:val="heading 4"/>
    <w:basedOn w:val="Standard"/>
    <w:next w:val="Standard"/>
    <w:qFormat/>
    <w:rsid w:val="009F57FA"/>
    <w:pPr>
      <w:keepNext/>
      <w:keepLines/>
      <w:spacing w:before="120" w:after="120"/>
      <w:outlineLvl w:val="3"/>
    </w:pPr>
    <w:rPr>
      <w:u w:val="single"/>
    </w:rPr>
  </w:style>
  <w:style w:type="paragraph" w:styleId="berschrift5">
    <w:name w:val="heading 5"/>
    <w:basedOn w:val="Standard"/>
    <w:next w:val="Standard"/>
    <w:qFormat/>
    <w:rsid w:val="009F57FA"/>
    <w:pPr>
      <w:keepNext/>
      <w:keepLines/>
      <w:spacing w:before="120" w:after="120"/>
      <w:outlineLvl w:val="4"/>
    </w:pPr>
    <w:rPr>
      <w:u w:val="single"/>
    </w:rPr>
  </w:style>
  <w:style w:type="paragraph" w:styleId="berschrift6">
    <w:name w:val="heading 6"/>
    <w:basedOn w:val="Standard"/>
    <w:next w:val="Standard"/>
    <w:qFormat/>
    <w:rsid w:val="009F57FA"/>
    <w:pPr>
      <w:keepNext/>
      <w:keepLines/>
      <w:spacing w:before="120" w:after="120"/>
      <w:outlineLvl w:val="5"/>
    </w:pPr>
    <w:rPr>
      <w:u w:val="single"/>
    </w:rPr>
  </w:style>
  <w:style w:type="paragraph" w:styleId="berschrift7">
    <w:name w:val="heading 7"/>
    <w:basedOn w:val="Standard"/>
    <w:next w:val="Standard"/>
    <w:qFormat/>
    <w:rsid w:val="009F57FA"/>
    <w:pPr>
      <w:keepNext/>
      <w:keepLines/>
      <w:spacing w:before="120" w:after="120"/>
      <w:outlineLvl w:val="6"/>
    </w:pPr>
    <w:rPr>
      <w:u w:val="single"/>
    </w:rPr>
  </w:style>
  <w:style w:type="paragraph" w:styleId="berschrift8">
    <w:name w:val="heading 8"/>
    <w:basedOn w:val="Standard"/>
    <w:next w:val="Standard"/>
    <w:qFormat/>
    <w:rsid w:val="009F57FA"/>
    <w:pPr>
      <w:keepNext/>
      <w:keepLines/>
      <w:spacing w:before="120" w:after="120"/>
      <w:outlineLvl w:val="7"/>
    </w:pPr>
    <w:rPr>
      <w:u w:val="single"/>
    </w:rPr>
  </w:style>
  <w:style w:type="paragraph" w:styleId="berschrift9">
    <w:name w:val="heading 9"/>
    <w:basedOn w:val="Standard"/>
    <w:next w:val="Standard"/>
    <w:qFormat/>
    <w:rsid w:val="009F57FA"/>
    <w:pPr>
      <w:keepNext/>
      <w:keepLines/>
      <w:spacing w:before="120" w:after="120"/>
      <w:outlineLvl w:val="8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5">
    <w:name w:val="toc 5"/>
    <w:basedOn w:val="Standard"/>
    <w:next w:val="Standard"/>
    <w:semiHidden/>
    <w:rsid w:val="00CA177B"/>
    <w:pPr>
      <w:keepLines/>
      <w:tabs>
        <w:tab w:val="right" w:leader="dot" w:pos="8789"/>
      </w:tabs>
      <w:ind w:left="879" w:right="567" w:hanging="879"/>
    </w:pPr>
  </w:style>
  <w:style w:type="paragraph" w:styleId="Verzeichnis4">
    <w:name w:val="toc 4"/>
    <w:basedOn w:val="Standard"/>
    <w:next w:val="Standard"/>
    <w:semiHidden/>
    <w:rsid w:val="00CA177B"/>
    <w:pPr>
      <w:keepLines/>
      <w:tabs>
        <w:tab w:val="right" w:leader="dot" w:pos="8789"/>
      </w:tabs>
      <w:ind w:left="714" w:right="567" w:hanging="714"/>
    </w:pPr>
  </w:style>
  <w:style w:type="paragraph" w:styleId="Verzeichnis3">
    <w:name w:val="toc 3"/>
    <w:basedOn w:val="Standard"/>
    <w:next w:val="Standard"/>
    <w:semiHidden/>
    <w:rsid w:val="00CA177B"/>
    <w:pPr>
      <w:keepLines/>
      <w:tabs>
        <w:tab w:val="right" w:leader="dot" w:pos="8789"/>
      </w:tabs>
      <w:ind w:left="556" w:right="567" w:hanging="556"/>
    </w:pPr>
  </w:style>
  <w:style w:type="paragraph" w:styleId="Verzeichnis2">
    <w:name w:val="toc 2"/>
    <w:basedOn w:val="Standard"/>
    <w:next w:val="Standard"/>
    <w:semiHidden/>
    <w:rsid w:val="00CA177B"/>
    <w:pPr>
      <w:keepLines/>
      <w:tabs>
        <w:tab w:val="right" w:leader="dot" w:pos="8789"/>
      </w:tabs>
      <w:ind w:left="397" w:right="567" w:hanging="397"/>
    </w:pPr>
  </w:style>
  <w:style w:type="paragraph" w:styleId="Verzeichnis1">
    <w:name w:val="toc 1"/>
    <w:basedOn w:val="Standard"/>
    <w:next w:val="Standard"/>
    <w:semiHidden/>
    <w:rsid w:val="00CA177B"/>
    <w:pPr>
      <w:keepLines/>
      <w:tabs>
        <w:tab w:val="right" w:leader="dot" w:pos="8789"/>
      </w:tabs>
      <w:ind w:left="227" w:right="567" w:hanging="227"/>
    </w:pPr>
  </w:style>
  <w:style w:type="paragraph" w:styleId="Fuzeile">
    <w:name w:val="footer"/>
    <w:basedOn w:val="Standard"/>
    <w:rsid w:val="00CA177B"/>
    <w:pPr>
      <w:tabs>
        <w:tab w:val="center" w:pos="4395"/>
        <w:tab w:val="right" w:pos="8789"/>
      </w:tabs>
    </w:pPr>
    <w:rPr>
      <w:sz w:val="18"/>
    </w:rPr>
  </w:style>
  <w:style w:type="paragraph" w:styleId="Kopfzeile">
    <w:name w:val="header"/>
    <w:basedOn w:val="Standard"/>
    <w:rsid w:val="00CA177B"/>
    <w:pPr>
      <w:tabs>
        <w:tab w:val="center" w:pos="4394"/>
        <w:tab w:val="right" w:pos="8789"/>
      </w:tabs>
    </w:pPr>
  </w:style>
  <w:style w:type="character" w:styleId="Funotenzeichen">
    <w:name w:val="footnote reference"/>
    <w:basedOn w:val="Absatz-Standardschriftart"/>
    <w:semiHidden/>
    <w:rsid w:val="00CA177B"/>
    <w:rPr>
      <w:position w:val="6"/>
      <w:sz w:val="16"/>
    </w:rPr>
  </w:style>
  <w:style w:type="paragraph" w:styleId="Funotentext">
    <w:name w:val="footnote text"/>
    <w:basedOn w:val="Standard"/>
    <w:semiHidden/>
    <w:rsid w:val="008C561B"/>
    <w:pPr>
      <w:spacing w:line="240" w:lineRule="atLeast"/>
      <w:ind w:left="284" w:hanging="284"/>
    </w:pPr>
    <w:rPr>
      <w:sz w:val="18"/>
    </w:rPr>
  </w:style>
  <w:style w:type="paragraph" w:styleId="Standardeinzug">
    <w:name w:val="Normal Indent"/>
    <w:basedOn w:val="Standard"/>
    <w:rsid w:val="00CA177B"/>
    <w:pPr>
      <w:tabs>
        <w:tab w:val="left" w:pos="567"/>
      </w:tabs>
      <w:ind w:left="284"/>
    </w:pPr>
  </w:style>
  <w:style w:type="paragraph" w:customStyle="1" w:styleId="auteurs">
    <w:name w:val="auteurs"/>
    <w:basedOn w:val="Standard"/>
    <w:rsid w:val="00CA177B"/>
    <w:pPr>
      <w:tabs>
        <w:tab w:val="center" w:pos="1985"/>
        <w:tab w:val="center" w:pos="6521"/>
      </w:tabs>
    </w:pPr>
  </w:style>
  <w:style w:type="paragraph" w:styleId="Makrotext">
    <w:name w:val="macro"/>
    <w:semiHidden/>
    <w:rsid w:val="00CA1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40" w:lineRule="atLeast"/>
    </w:pPr>
    <w:rPr>
      <w:lang w:val="en-GB" w:eastAsia="en-US"/>
    </w:rPr>
  </w:style>
  <w:style w:type="paragraph" w:styleId="Verzeichnis6">
    <w:name w:val="toc 6"/>
    <w:basedOn w:val="Standard"/>
    <w:next w:val="Standard"/>
    <w:semiHidden/>
    <w:rsid w:val="00CA177B"/>
    <w:pPr>
      <w:keepLines/>
      <w:tabs>
        <w:tab w:val="right" w:leader="dot" w:pos="8789"/>
      </w:tabs>
      <w:ind w:left="1049" w:right="567" w:hanging="1049"/>
    </w:pPr>
  </w:style>
  <w:style w:type="paragraph" w:styleId="Verzeichnis7">
    <w:name w:val="toc 7"/>
    <w:basedOn w:val="Standard"/>
    <w:next w:val="Standard"/>
    <w:semiHidden/>
    <w:rsid w:val="00CA177B"/>
    <w:pPr>
      <w:keepLines/>
      <w:tabs>
        <w:tab w:val="right" w:leader="dot" w:pos="8789"/>
      </w:tabs>
      <w:ind w:left="1219" w:right="567" w:hanging="1219"/>
    </w:pPr>
  </w:style>
  <w:style w:type="paragraph" w:styleId="Verzeichnis8">
    <w:name w:val="toc 8"/>
    <w:basedOn w:val="Standard"/>
    <w:next w:val="Standard"/>
    <w:semiHidden/>
    <w:rsid w:val="00CA177B"/>
    <w:pPr>
      <w:keepLines/>
      <w:tabs>
        <w:tab w:val="right" w:leader="dot" w:pos="8789"/>
      </w:tabs>
      <w:ind w:left="1378" w:right="567" w:hanging="1378"/>
    </w:pPr>
  </w:style>
  <w:style w:type="paragraph" w:styleId="Verzeichnis9">
    <w:name w:val="toc 9"/>
    <w:basedOn w:val="Standard"/>
    <w:next w:val="Standard"/>
    <w:semiHidden/>
    <w:rsid w:val="00CA177B"/>
    <w:pPr>
      <w:keepLines/>
      <w:tabs>
        <w:tab w:val="right" w:leader="dot" w:pos="8789"/>
      </w:tabs>
      <w:ind w:left="1548" w:right="567" w:hanging="1548"/>
    </w:pPr>
  </w:style>
  <w:style w:type="paragraph" w:styleId="Dokumentstruktur">
    <w:name w:val="Document Map"/>
    <w:basedOn w:val="Standard"/>
    <w:semiHidden/>
    <w:rsid w:val="00CA177B"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link w:val="SprechblasentextZchn"/>
    <w:rsid w:val="00EF407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F407E"/>
    <w:rPr>
      <w:rFonts w:ascii="Segoe UI" w:hAnsi="Segoe UI" w:cs="Segoe UI"/>
      <w:sz w:val="18"/>
      <w:szCs w:val="18"/>
      <w:lang w:val="en-GB" w:eastAsia="en-US"/>
    </w:rPr>
  </w:style>
  <w:style w:type="paragraph" w:styleId="Aufzhlungszeichen2">
    <w:name w:val="List Bullet 2"/>
    <w:basedOn w:val="Standard"/>
    <w:unhideWhenUsed/>
    <w:qFormat/>
    <w:rsid w:val="00F17AC2"/>
    <w:pPr>
      <w:numPr>
        <w:numId w:val="9"/>
      </w:numPr>
      <w:contextualSpacing/>
    </w:pPr>
  </w:style>
  <w:style w:type="paragraph" w:styleId="Aufzhlungszeichen">
    <w:name w:val="List Bullet"/>
    <w:basedOn w:val="Standard"/>
    <w:unhideWhenUsed/>
    <w:qFormat/>
    <w:rsid w:val="00F17AC2"/>
    <w:pPr>
      <w:numPr>
        <w:numId w:val="10"/>
      </w:numPr>
      <w:contextualSpacing/>
    </w:pPr>
  </w:style>
  <w:style w:type="paragraph" w:styleId="Aufzhlungszeichen4">
    <w:name w:val="List Bullet 4"/>
    <w:basedOn w:val="Standard"/>
    <w:unhideWhenUsed/>
    <w:qFormat/>
    <w:rsid w:val="000A1C52"/>
    <w:pPr>
      <w:numPr>
        <w:numId w:val="7"/>
      </w:numPr>
      <w:contextualSpacing/>
    </w:pPr>
  </w:style>
  <w:style w:type="paragraph" w:styleId="Aufzhlungszeichen3">
    <w:name w:val="List Bullet 3"/>
    <w:basedOn w:val="Standard"/>
    <w:unhideWhenUsed/>
    <w:qFormat/>
    <w:rsid w:val="000A1C52"/>
    <w:pPr>
      <w:numPr>
        <w:numId w:val="13"/>
      </w:numPr>
      <w:contextualSpacing/>
    </w:pPr>
  </w:style>
  <w:style w:type="paragraph" w:styleId="Aufzhlungszeichen5">
    <w:name w:val="List Bullet 5"/>
    <w:basedOn w:val="Standard"/>
    <w:unhideWhenUsed/>
    <w:qFormat/>
    <w:rsid w:val="00143FB3"/>
    <w:pPr>
      <w:numPr>
        <w:numId w:val="6"/>
      </w:numPr>
      <w:contextualSpacing/>
    </w:pPr>
  </w:style>
  <w:style w:type="paragraph" w:styleId="Listennummer">
    <w:name w:val="List Number"/>
    <w:basedOn w:val="Standard"/>
    <w:unhideWhenUsed/>
    <w:qFormat/>
    <w:rsid w:val="00450EE5"/>
    <w:pPr>
      <w:numPr>
        <w:numId w:val="5"/>
      </w:numPr>
      <w:contextualSpacing/>
    </w:pPr>
  </w:style>
  <w:style w:type="paragraph" w:styleId="Listennummer2">
    <w:name w:val="List Number 2"/>
    <w:basedOn w:val="Standard"/>
    <w:unhideWhenUsed/>
    <w:qFormat/>
    <w:rsid w:val="00450EE5"/>
    <w:pPr>
      <w:numPr>
        <w:numId w:val="4"/>
      </w:numPr>
      <w:contextualSpacing/>
    </w:pPr>
  </w:style>
  <w:style w:type="paragraph" w:styleId="Listennummer3">
    <w:name w:val="List Number 3"/>
    <w:basedOn w:val="Standard"/>
    <w:unhideWhenUsed/>
    <w:qFormat/>
    <w:rsid w:val="00450EE5"/>
    <w:pPr>
      <w:numPr>
        <w:numId w:val="3"/>
      </w:numPr>
      <w:contextualSpacing/>
    </w:pPr>
  </w:style>
  <w:style w:type="character" w:styleId="Kommentarzeichen">
    <w:name w:val="annotation reference"/>
    <w:basedOn w:val="Absatz-Standardschriftart"/>
    <w:semiHidden/>
    <w:unhideWhenUsed/>
    <w:rsid w:val="003A7A08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3A7A08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rsid w:val="003A7A08"/>
    <w:rPr>
      <w:rFonts w:ascii="Arial" w:hAnsi="Arial"/>
      <w:lang w:val="en-GB" w:eastAsia="en-US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A7A0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A7A08"/>
    <w:rPr>
      <w:rFonts w:ascii="Arial" w:hAnsi="Arial"/>
      <w:b/>
      <w:bCs/>
      <w:lang w:val="en-GB" w:eastAsia="en-US"/>
    </w:rPr>
  </w:style>
  <w:style w:type="character" w:styleId="Hyperlink">
    <w:name w:val="Hyperlink"/>
    <w:basedOn w:val="Absatz-Standardschriftart"/>
    <w:uiPriority w:val="99"/>
    <w:unhideWhenUsed/>
    <w:rsid w:val="004F73AF"/>
    <w:rPr>
      <w:color w:val="0000FF"/>
      <w:u w:val="single"/>
    </w:rPr>
  </w:style>
  <w:style w:type="character" w:styleId="BesuchterLink">
    <w:name w:val="FollowedHyperlink"/>
    <w:basedOn w:val="Absatz-Standardschriftart"/>
    <w:semiHidden/>
    <w:unhideWhenUsed/>
    <w:rsid w:val="00B75041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9F3A02"/>
    <w:rPr>
      <w:rFonts w:ascii="Arial" w:hAnsi="Arial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s.org/ifc_bulletins/index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al.balances@bde.es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ccbso-sekretariat@bundesbank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C.secretariat@bis.org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hathamhouse.org/about-us/chatham-house-rul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BE5C6-062F-4C80-B638-EDC5BEAFC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1909</Characters>
  <Application>Microsoft Office Word</Application>
  <DocSecurity>0</DocSecurity>
  <Lines>15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National Bank of Belgium</Company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Druant Martine</dc:creator>
  <cp:keywords/>
  <dc:description/>
  <cp:lastModifiedBy>Klaus Gerstner</cp:lastModifiedBy>
  <cp:revision>2</cp:revision>
  <cp:lastPrinted>1900-12-31T22:00:00Z</cp:lastPrinted>
  <dcterms:created xsi:type="dcterms:W3CDTF">2024-01-25T16:37:00Z</dcterms:created>
  <dcterms:modified xsi:type="dcterms:W3CDTF">2024-01-25T16:37:00Z</dcterms:modified>
</cp:coreProperties>
</file>